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760" w:firstLineChars="1600"/>
        <w:jc w:val="both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蒲城县教育局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“清廉学校建设”、杨晓峰违纪违法“以案促改”及群众身边腐败问题专项整治工作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检查表</w:t>
      </w:r>
    </w:p>
    <w:p>
      <w:pPr>
        <w:jc w:val="both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受检学校名称：____________(盖章）                校长签字：                       时间：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860"/>
        <w:gridCol w:w="4185"/>
        <w:gridCol w:w="1830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</w:t>
            </w: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存在问题</w:t>
            </w: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整改时限</w:t>
            </w: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21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清廉学校建设工作</w:t>
            </w: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1.是否制定创建清廉学校实施方案，成立创建领导小组和组织机构，明确人员职责：单位“一把手”校长亲自抓清廉学校创建工作。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2.是否召开清廉学校创建工作专题会议。（会议记录、图片）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3.是否通过各类媒体、简报、宣传栏等方式开展形式多样的清廉学校宣传活动。（宣传照片、活动报道材料）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</w:trPr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4.强化党组织建设，严格执行“三重一大”决策制度，是否落实党务公开、政务公开和财务公开制度。（议事规则、规章制度、会议记录、公开制度、公示照片）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杨晓峰违纪违法“以案促改”工作</w:t>
            </w: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1.是否制定工作实施方案，是否召开基层党组织“以案促改”问题剖析会。（会议记录、照片）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2.是否建立切实可行的“以案促改”自查问题台账，形成党员领导干部及教职工个人剖析材料。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3.各校是否要求党员干部和教职工做出公开廉政承诺。是否召开杨晓峰违纪违法“以案促改”警示教育大会。（会议记录、照片）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1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群众身边腐败问题专项整治工作</w:t>
            </w: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1.是否制定专项整治工作方案，是否召开专项治理会议，是否建立专项整治工作组织机构。（会议记录、照片）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2.是否及时公布群众信访及监督举报方式，建立举报问题台账。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3.是否定期开展师德师风警示教育等活动，是否签订师德师风承诺书。（会议记录、照片）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4.是否有教育乱收费现象。（走访家长、学生）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5.是否开展教师参与有偿补课、强制学生购买教辅资料、体罚学生等师德师风问题排查。（排查台账）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6.是否全面落实“双减”政策，做到一校一案。（方案、过程性资料）</w:t>
            </w:r>
          </w:p>
        </w:tc>
        <w:tc>
          <w:tcPr>
            <w:tcW w:w="4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ind w:firstLine="840" w:firstLineChars="30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督查人签字：                                                 股室负责人签字：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ZTYxZWZkNjZjNGYwMmEzZjE5MzYxNjhmNWE4ZTEifQ=="/>
  </w:docVars>
  <w:rsids>
    <w:rsidRoot w:val="00000000"/>
    <w:rsid w:val="54B65ADB"/>
    <w:rsid w:val="7FB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676</Words>
  <Characters>701</Characters>
  <Lines>0</Lines>
  <Paragraphs>0</Paragraphs>
  <TotalTime>28</TotalTime>
  <ScaleCrop>false</ScaleCrop>
  <LinksUpToDate>false</LinksUpToDate>
  <CharactersWithSpaces>730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2023-08-30T03:55:00Z</dcterms:created>
  <dc:creator>pcxjy</dc:creator>
  <cp:lastModifiedBy>顾北清歌寒</cp:lastModifiedBy>
  <cp:lastPrinted>2023-08-30T07:03:02Z</cp:lastPrinted>
  <dcterms:modified xsi:type="dcterms:W3CDTF">2023-08-30T07:20:22Z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328AFFC3A8C14F499FE48EA5CED973ED_12</vt:lpwstr>
  </property>
</Properties>
</file>